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B1" w:rsidRDefault="00FA2FB1" w:rsidP="00FA2FB1">
      <w:pPr>
        <w:jc w:val="center"/>
      </w:pPr>
    </w:p>
    <w:p w:rsidR="00540D98" w:rsidRDefault="00540D98" w:rsidP="00FA2FB1">
      <w:pPr>
        <w:jc w:val="center"/>
        <w:rPr>
          <w:b/>
        </w:rPr>
      </w:pPr>
    </w:p>
    <w:p w:rsidR="00540D98" w:rsidRDefault="00540D98" w:rsidP="00540D98">
      <w:pPr>
        <w:jc w:val="both"/>
        <w:rPr>
          <w:b/>
        </w:rPr>
      </w:pPr>
      <w:r>
        <w:rPr>
          <w:b/>
        </w:rPr>
        <w:t>NOTA: Ver texto completo en shd.gov.co</w:t>
      </w:r>
      <w:bookmarkStart w:id="0" w:name="_GoBack"/>
      <w:bookmarkEnd w:id="0"/>
    </w:p>
    <w:p w:rsidR="00540D98" w:rsidRDefault="00540D98" w:rsidP="00FA2FB1">
      <w:pPr>
        <w:jc w:val="center"/>
        <w:rPr>
          <w:b/>
        </w:rPr>
      </w:pPr>
    </w:p>
    <w:p w:rsidR="00540D98" w:rsidRDefault="00540D98" w:rsidP="00FA2FB1">
      <w:pPr>
        <w:jc w:val="center"/>
        <w:rPr>
          <w:b/>
        </w:rPr>
      </w:pPr>
    </w:p>
    <w:p w:rsidR="00FA2FB1" w:rsidRPr="00F439BD" w:rsidRDefault="00FA2FB1" w:rsidP="00FA2FB1">
      <w:pPr>
        <w:jc w:val="center"/>
        <w:rPr>
          <w:b/>
        </w:rPr>
      </w:pPr>
      <w:r w:rsidRPr="00F439BD">
        <w:rPr>
          <w:b/>
        </w:rPr>
        <w:t>SECRETARÍA DE HACIENDA DISTRITAL</w:t>
      </w:r>
    </w:p>
    <w:p w:rsidR="00FA2FB1" w:rsidRDefault="00FA2FB1" w:rsidP="00FA2FB1">
      <w:pPr>
        <w:jc w:val="center"/>
      </w:pPr>
    </w:p>
    <w:p w:rsidR="00FA2FB1" w:rsidRDefault="00FA2FB1" w:rsidP="00FA2FB1">
      <w:pPr>
        <w:jc w:val="center"/>
      </w:pPr>
      <w:r w:rsidRPr="00FA2FB1">
        <w:rPr>
          <w:b/>
        </w:rPr>
        <w:t>Resolución Número DDI-017158 (Abril 23 de 2015</w:t>
      </w:r>
      <w:r>
        <w:t xml:space="preserve">) </w:t>
      </w:r>
    </w:p>
    <w:p w:rsidR="00FA2FB1" w:rsidRDefault="00FA2FB1" w:rsidP="00FA2FB1">
      <w:pPr>
        <w:jc w:val="center"/>
      </w:pPr>
      <w:r>
        <w:t>“Por la cual se establecen las personas naturales, jurídicas, consorcios, uniones temporales y/o sociedades de hecho, el contenido y las características de la información que deben suministrar a la Dirección Distrital de Impuestos de Bogotá – DIB”.</w:t>
      </w:r>
    </w:p>
    <w:p w:rsidR="00FA2FB1" w:rsidRDefault="00FA2FB1" w:rsidP="00FA2FB1">
      <w:pPr>
        <w:jc w:val="both"/>
      </w:pPr>
    </w:p>
    <w:p w:rsidR="00FA2FB1" w:rsidRDefault="00FA2FB1" w:rsidP="00FA2FB1">
      <w:pPr>
        <w:jc w:val="center"/>
      </w:pPr>
      <w:r>
        <w:t>LA DIRECTORA DISTRITAL DE IMPUESTOS DE BOGOTA DE LA SECRETARÍA DISTRITAL DE HACIENDA, En uso de las facultades conferidas en los artículos 631-3 y 633 del Estatuto Tributario Nacional, 1 y 51 del Decreto Distrital 807 de 1993 y 22 del Acuerdo Distrital 65 de 2002 y, CONSIDERANDO:</w:t>
      </w:r>
    </w:p>
    <w:p w:rsidR="00FA2FB1" w:rsidRDefault="00FA2FB1" w:rsidP="00FA2FB1">
      <w:pPr>
        <w:jc w:val="both"/>
      </w:pPr>
    </w:p>
    <w:p w:rsidR="00FA2FB1" w:rsidRDefault="00FA2FB1" w:rsidP="00FA2FB1">
      <w:pPr>
        <w:jc w:val="both"/>
      </w:pPr>
      <w:r>
        <w:t xml:space="preserve">Que el inciso 2º del artículo 209 de la Constitución Política ordena a las autoridades administrativas coordinar sus actuaciones para el adecuado cumplimiento de los fines del Estado. </w:t>
      </w:r>
    </w:p>
    <w:p w:rsidR="00FA2FB1" w:rsidRDefault="00FA2FB1" w:rsidP="00FA2FB1">
      <w:pPr>
        <w:jc w:val="both"/>
      </w:pPr>
      <w:r>
        <w:t xml:space="preserve">Que el artículo 6 de la Ley 489 de 1998 desarrolla los principios de coordinación y colaboración entre las autoridades administrativas para garantizar la armonía en el ejercicio de sus respectivas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 </w:t>
      </w:r>
    </w:p>
    <w:p w:rsidR="00FA2FB1" w:rsidRDefault="00FA2FB1" w:rsidP="00FA2FB1">
      <w:pPr>
        <w:jc w:val="both"/>
      </w:pPr>
      <w:r>
        <w:t xml:space="preserve">Que para efectos del envío de la información que deba suministrarse en medios magnéticos el artículo 633 del Estatuto Tributario Nacional autoriza a la Administración a establecer las especificaciones técnicas que deban cumplirse. Que con el fin de efectuar estudios y cruces de información necesarios para el debido control de los tributos distritales, de conformidad con el artículo 51 del Decreto Distrital 807 de 1993. “(…) el Director Distrital de Impuestos podrá solicitar a las personas o entidades, contribuyentes y no contribuyentes, declarantes o no declarantes, información relacionada con sus propias operaciones o con operaciones efectuadas con terceros, así como la discriminación total o parcial de las partidas consignadas en los formularios de las declaraciones tributarias, (…)”. </w:t>
      </w:r>
    </w:p>
    <w:p w:rsidR="00FA2FB1" w:rsidRDefault="00FA2FB1" w:rsidP="00FA2FB1">
      <w:pPr>
        <w:jc w:val="both"/>
      </w:pPr>
      <w:r>
        <w:t xml:space="preserve">Que el incumplimiento o cumplimiento extemporáneo o defectuoso en el suministro, por medio magnético, de la información endógena y exógena solicitada por vía general acarrea para el obligado tributario la sanción prevista en el artículo 69 del mencionado Decreto del siguiente tenor literal: “ARTÍCULO 69. Sanción por no enviar información. Las personas y entidades obligadas a suministrar información tributaria, así como aquellas a quienes se les haya solicitado informaciones o pruebas, que no la suministren dentro del plazo establecido para ello o cuyo contenido presente errores o no corresponda a lo solicitado, incurrirán en la siguiente sanción: a) Una multa hasta de cincuenta millones de pesos ($50.000.000), (valor </w:t>
      </w:r>
      <w:r>
        <w:lastRenderedPageBreak/>
        <w:t xml:space="preserve">año base 1992) (para el año 2015 no podrá exceder de 15.000 UVT) la cual será fijada teniendo en cuenta los siguientes criterios: Hasta del cinco por ciento (5%) de las sumas respecto de las cuales no se suministró la información exigida, se suministró en forma errónea o se hizo en forma extemporánea. Cuando no sea posible establecer la base para tasarla o la información no tuviere cuantía, hasta del cero punto cinco por ciento (0,5%) de los ingresos netos. Si no existiere ingresos, hasta del 0,5% del patrimonio bruto del contribuyente o declarante, correspondiente al año inmediatamente anterior. b) El desconocimiento de los factores que disminuyen la base gravable o de los descuentos tributarios según el caso, cuando la información requerida se refiera a estos conceptos y, de acuerdo con las normas vigentes, deba conservarse y mantenerse a disposición de la Administración Tributaria Distrital. La sanción a que se refiere el presente artículo, se reducirá en los términos y condiciones previstos en los dos incisos finales del artículo 651 del Estatuto Tributario Nacional.” </w:t>
      </w:r>
    </w:p>
    <w:p w:rsidR="00FA2FB1" w:rsidRDefault="00FA2FB1" w:rsidP="00FA2FB1">
      <w:r>
        <w:t xml:space="preserve">Que en mérito de lo expuesto, este Despacho, </w:t>
      </w:r>
    </w:p>
    <w:p w:rsidR="00FA2FB1" w:rsidRDefault="00FA2FB1" w:rsidP="00FA2FB1"/>
    <w:p w:rsidR="00FA2FB1" w:rsidRDefault="00FA2FB1" w:rsidP="00FA2FB1">
      <w:pPr>
        <w:jc w:val="center"/>
        <w:rPr>
          <w:b/>
        </w:rPr>
      </w:pPr>
      <w:r w:rsidRPr="00FA2FB1">
        <w:rPr>
          <w:b/>
        </w:rPr>
        <w:t>RESUELVE:</w:t>
      </w:r>
    </w:p>
    <w:p w:rsidR="00FA2FB1" w:rsidRPr="00FA2FB1" w:rsidRDefault="00FA2FB1" w:rsidP="00FA2FB1">
      <w:pPr>
        <w:jc w:val="both"/>
        <w:rPr>
          <w:b/>
        </w:rPr>
      </w:pPr>
      <w:r>
        <w:rPr>
          <w:b/>
        </w:rPr>
        <w:t>(……)</w:t>
      </w:r>
    </w:p>
    <w:p w:rsidR="00FA2FB1" w:rsidRDefault="00FA2FB1" w:rsidP="00FA2FB1">
      <w:pPr>
        <w:jc w:val="both"/>
      </w:pPr>
    </w:p>
    <w:p w:rsidR="00FA2FB1" w:rsidRPr="00FA2FB1" w:rsidRDefault="00FA2FB1" w:rsidP="00FA2FB1">
      <w:pPr>
        <w:jc w:val="both"/>
        <w:rPr>
          <w:b/>
        </w:rPr>
      </w:pPr>
      <w:r w:rsidRPr="00FA2FB1">
        <w:rPr>
          <w:b/>
        </w:rPr>
        <w:t>ARTÍCULO 2º. Información de compras de bienes y/o servicios.</w:t>
      </w:r>
      <w:r>
        <w:t xml:space="preserve"> Las Entidades Públicas de nivel nacional y territorial del orden central y descentralizado independientemente del monto de sus ingresos; las personas jurídicas, consorcios, uniones temporales, sociedades de hecho y personas naturales comerciantes independientemente de ser o no contribuyentes del impuesto de industria y comercio en Bogotá D.C., </w:t>
      </w:r>
      <w:r w:rsidRPr="00FA2FB1">
        <w:rPr>
          <w:b/>
        </w:rPr>
        <w:t xml:space="preserve">que en el año </w:t>
      </w:r>
      <w:r w:rsidRPr="00FA2FB1">
        <w:rPr>
          <w:b/>
          <w:u w:val="single"/>
        </w:rPr>
        <w:t>gravable 2014</w:t>
      </w:r>
      <w:r w:rsidRPr="00FA2FB1">
        <w:rPr>
          <w:b/>
        </w:rPr>
        <w:t xml:space="preserve"> hayan obtenido ingresos brutos iguales o superiores a ciento nueve millones novecientos cuarenta mil pesos </w:t>
      </w:r>
      <w:r w:rsidRPr="00FA2FB1">
        <w:rPr>
          <w:b/>
          <w:u w:val="single"/>
        </w:rPr>
        <w:t>($109.940.000</w:t>
      </w:r>
      <w:r w:rsidRPr="00FA2FB1">
        <w:rPr>
          <w:b/>
        </w:rPr>
        <w:t>) m/ Cte., deberán suministrar la siguiente información de cada uno de los proveedores a los que le realizaron compra de bienes y/o servicios en Bogotá, durante el año gravable 2014 cuando el monto anual acumulado de los pagos o abonos en cuenta sea igual o superior a cinco</w:t>
      </w:r>
      <w:r>
        <w:rPr>
          <w:b/>
        </w:rPr>
        <w:t xml:space="preserve"> millones de pesos ($5.000.000):</w:t>
      </w:r>
    </w:p>
    <w:p w:rsidR="00FA2FB1" w:rsidRDefault="00FA2FB1" w:rsidP="00FA2FB1">
      <w:pPr>
        <w:jc w:val="both"/>
      </w:pPr>
    </w:p>
    <w:p w:rsidR="00FA2FB1" w:rsidRDefault="00FA2FB1" w:rsidP="00FA2FB1">
      <w:pPr>
        <w:jc w:val="both"/>
      </w:pPr>
      <w:r>
        <w:t xml:space="preserve">Vigencia – </w:t>
      </w:r>
    </w:p>
    <w:p w:rsidR="00FA2FB1" w:rsidRDefault="00FA2FB1" w:rsidP="00FA2FB1">
      <w:pPr>
        <w:jc w:val="both"/>
      </w:pPr>
      <w:r>
        <w:t xml:space="preserve">Tipo de documento de identificación – </w:t>
      </w:r>
    </w:p>
    <w:p w:rsidR="00FA2FB1" w:rsidRDefault="00FA2FB1" w:rsidP="00FA2FB1">
      <w:pPr>
        <w:jc w:val="both"/>
      </w:pPr>
      <w:r>
        <w:t xml:space="preserve">Número de documento de identificación – </w:t>
      </w:r>
    </w:p>
    <w:p w:rsidR="00FA2FB1" w:rsidRDefault="00FA2FB1" w:rsidP="00FA2FB1">
      <w:pPr>
        <w:jc w:val="both"/>
      </w:pPr>
      <w:r>
        <w:t xml:space="preserve">Nombre(s) y apellido(s) o razón social – </w:t>
      </w:r>
    </w:p>
    <w:p w:rsidR="00FA2FB1" w:rsidRDefault="00FA2FB1" w:rsidP="00FA2FB1">
      <w:pPr>
        <w:jc w:val="both"/>
      </w:pPr>
      <w:r>
        <w:t xml:space="preserve">Dirección de notificación - Teléfono - Dirección de correo electrónico (Email) - Código ciudad o municipio (codificación DANE) – </w:t>
      </w:r>
    </w:p>
    <w:p w:rsidR="00FA2FB1" w:rsidRDefault="00FA2FB1" w:rsidP="00FA2FB1">
      <w:pPr>
        <w:jc w:val="both"/>
      </w:pPr>
      <w:r>
        <w:t xml:space="preserve">Código de departamento (codificación DANE) – </w:t>
      </w:r>
    </w:p>
    <w:p w:rsidR="00FA2FB1" w:rsidRDefault="00FA2FB1" w:rsidP="00FA2FB1">
      <w:pPr>
        <w:jc w:val="both"/>
      </w:pPr>
      <w:r>
        <w:t xml:space="preserve">Concepto del pago o abono en cuenta - Valor bruto acumulado anual de las compras de bienes o servicios, sin incluir el IVA – </w:t>
      </w:r>
    </w:p>
    <w:p w:rsidR="00FA2FB1" w:rsidRDefault="00FA2FB1" w:rsidP="00FA2FB1">
      <w:pPr>
        <w:jc w:val="both"/>
      </w:pPr>
      <w:r>
        <w:t xml:space="preserve">Valor total de las devoluciones, rebajas y descuentos </w:t>
      </w:r>
    </w:p>
    <w:p w:rsidR="00FA2FB1" w:rsidRDefault="00FA2FB1" w:rsidP="00FA2FB1">
      <w:pPr>
        <w:jc w:val="both"/>
        <w:rPr>
          <w:b/>
        </w:rPr>
      </w:pPr>
    </w:p>
    <w:p w:rsidR="00FA2FB1" w:rsidRPr="00FA2FB1" w:rsidRDefault="00FA2FB1" w:rsidP="00FA2FB1">
      <w:pPr>
        <w:jc w:val="both"/>
        <w:rPr>
          <w:b/>
        </w:rPr>
      </w:pPr>
      <w:r w:rsidRPr="00FA2FB1">
        <w:rPr>
          <w:b/>
        </w:rPr>
        <w:lastRenderedPageBreak/>
        <w:t>PARÁGRAFO 1.</w:t>
      </w:r>
      <w:r>
        <w:t xml:space="preserve"> </w:t>
      </w:r>
      <w:r w:rsidRPr="00FA2FB1">
        <w:rPr>
          <w:b/>
        </w:rPr>
        <w:t xml:space="preserve">Para efectos del presente artículo entiéndase como compra de bienes en la jurisdicción de Bogotá, D.C., cualquiera de los siguientes eventos: </w:t>
      </w:r>
    </w:p>
    <w:p w:rsidR="00FA2FB1" w:rsidRDefault="00FA2FB1" w:rsidP="00FA2FB1">
      <w:pPr>
        <w:jc w:val="both"/>
      </w:pPr>
      <w:r>
        <w:t>a) La realizada a través de sucursales y/o agencias ubicadas en esta jurisdicción o cuando en dicha operación intervengan agentes o vendedores contratados directa o indirectamente por el proveedor para la oferta, promoción, realización o venta de bienes en la ciudad de Bogotá.</w:t>
      </w:r>
    </w:p>
    <w:p w:rsidR="00FA2FB1" w:rsidRDefault="00FA2FB1" w:rsidP="00FA2FB1">
      <w:pPr>
        <w:jc w:val="both"/>
      </w:pPr>
      <w:r>
        <w:t xml:space="preserve">b) La compra de bienes efectuada a personas naturales y/o jurídicas con o sin establecimiento de comercio en esta jurisdicción, si el contrato de suministro u orden de pedido fueron firmados en Bogotá o si el vendedor reportó como domicilio esta ciudad. </w:t>
      </w:r>
    </w:p>
    <w:p w:rsidR="00FA2FB1" w:rsidRDefault="00FA2FB1" w:rsidP="00FA2FB1">
      <w:pPr>
        <w:jc w:val="both"/>
      </w:pPr>
      <w:r w:rsidRPr="00FA2FB1">
        <w:rPr>
          <w:b/>
        </w:rPr>
        <w:t>PARÁGRAFO 2.</w:t>
      </w:r>
      <w:r>
        <w:t xml:space="preserve"> Para efectos del presente artículo no se entenderán como compras efectuadas en Bogotá las importaciones directas o indirectas realizadas por el </w:t>
      </w:r>
      <w:proofErr w:type="spellStart"/>
      <w:r>
        <w:t>reportante</w:t>
      </w:r>
      <w:proofErr w:type="spellEnd"/>
      <w:r>
        <w:t xml:space="preserve">, salvo las realizadas en las zonas francas ubicadas en Bogotá. </w:t>
      </w:r>
    </w:p>
    <w:p w:rsidR="00FA2FB1" w:rsidRDefault="00FA2FB1" w:rsidP="00FA2FB1">
      <w:pPr>
        <w:jc w:val="both"/>
      </w:pPr>
      <w:r w:rsidRPr="00FA2FB1">
        <w:rPr>
          <w:b/>
        </w:rPr>
        <w:t>PARÁGRAFO 3</w:t>
      </w:r>
      <w:r>
        <w:t xml:space="preserve">. Para efectos del presente artículo se deberá reportar toda compra que cumpla las condiciones señaladas, independientemente que se le haya practicado o no la retención sobre el impuesto de industria y comercio. </w:t>
      </w:r>
    </w:p>
    <w:p w:rsidR="00FA2FB1" w:rsidRDefault="00FA2FB1" w:rsidP="00FA2FB1">
      <w:pPr>
        <w:jc w:val="both"/>
      </w:pPr>
      <w:r w:rsidRPr="00FA2FB1">
        <w:rPr>
          <w:b/>
        </w:rPr>
        <w:t>PARÁGRAFO 4.</w:t>
      </w:r>
      <w:r>
        <w:t xml:space="preserve"> Para efectos del presente artículo se entenderá como compra de servicios los prestados en la jurisdicción del Distrito Capital sin tener en cuenta su lugar de contratación. </w:t>
      </w:r>
    </w:p>
    <w:p w:rsidR="00FA2FB1" w:rsidRDefault="00FA2FB1" w:rsidP="00FA2FB1">
      <w:pPr>
        <w:jc w:val="both"/>
      </w:pPr>
      <w:r w:rsidRPr="00FA2FB1">
        <w:rPr>
          <w:b/>
        </w:rPr>
        <w:t>PARÁGRAFO 5</w:t>
      </w:r>
      <w:r>
        <w:t xml:space="preserve">. En los casos que se describen a continuación el responsable de reportar la información estará en cabeza de: 1. Consorcios y uniones temporales: quien deba cumplir con la obligación de expedir factura dentro de la forma contractual. 2. Cuentas conjuntas: quien actuó en condición de “operador” o quien haga sus veces. 3. Contratos de mandato o administración delegada: quien actuó como mandatario o contratista. 4. Fideicomiso: La sociedad fiduciaria que lo administre. </w:t>
      </w:r>
    </w:p>
    <w:p w:rsidR="00FA2FB1" w:rsidRDefault="00FA2FB1" w:rsidP="00FA2FB1">
      <w:pPr>
        <w:jc w:val="both"/>
      </w:pPr>
      <w:r>
        <w:t>(…….)</w:t>
      </w:r>
    </w:p>
    <w:p w:rsidR="00F439BD" w:rsidRDefault="00F439BD" w:rsidP="00FA2FB1">
      <w:pPr>
        <w:jc w:val="both"/>
      </w:pPr>
    </w:p>
    <w:p w:rsidR="00F439BD" w:rsidRDefault="00F439BD" w:rsidP="00FA2FB1">
      <w:pPr>
        <w:jc w:val="both"/>
      </w:pPr>
      <w:r w:rsidRPr="00F439BD">
        <w:rPr>
          <w:b/>
        </w:rPr>
        <w:t>ARTÍCULO 17º. Plazo para presentar la información. La entrega de la información exógena a que se refiere la presente Resolución,</w:t>
      </w:r>
      <w:r>
        <w:t xml:space="preserve"> deberá realizarse en los siguientes plazos: </w:t>
      </w:r>
    </w:p>
    <w:p w:rsidR="00F439BD" w:rsidRPr="00F439BD" w:rsidRDefault="00F439BD" w:rsidP="00FA2FB1">
      <w:pPr>
        <w:jc w:val="both"/>
        <w:rPr>
          <w:b/>
        </w:rPr>
      </w:pPr>
    </w:p>
    <w:p w:rsidR="00F439BD" w:rsidRPr="00F439BD" w:rsidRDefault="00F439BD" w:rsidP="00FA2FB1">
      <w:pPr>
        <w:jc w:val="both"/>
        <w:rPr>
          <w:b/>
        </w:rPr>
      </w:pPr>
      <w:r w:rsidRPr="00F439BD">
        <w:rPr>
          <w:b/>
        </w:rPr>
        <w:t>INFORMACIÓN 2014:</w:t>
      </w:r>
    </w:p>
    <w:p w:rsidR="00F439BD" w:rsidRDefault="00F439BD" w:rsidP="00FA2FB1">
      <w:pPr>
        <w:jc w:val="both"/>
      </w:pPr>
    </w:p>
    <w:p w:rsidR="00F439BD" w:rsidRPr="00D34099" w:rsidRDefault="00F439BD" w:rsidP="00FA2FB1">
      <w:pPr>
        <w:jc w:val="both"/>
        <w:rPr>
          <w:b/>
        </w:rPr>
      </w:pPr>
      <w:r w:rsidRPr="00D34099">
        <w:rPr>
          <w:b/>
        </w:rPr>
        <w:t xml:space="preserve"> Último dígito de identificación</w:t>
      </w:r>
      <w:r>
        <w:t xml:space="preserve">                               </w:t>
      </w:r>
      <w:r w:rsidR="00D34099">
        <w:t xml:space="preserve">    </w:t>
      </w:r>
      <w:r w:rsidRPr="00D34099">
        <w:rPr>
          <w:b/>
        </w:rPr>
        <w:t xml:space="preserve">Fecha límite </w:t>
      </w:r>
    </w:p>
    <w:p w:rsidR="00F439BD" w:rsidRDefault="00F439BD" w:rsidP="00FA2FB1">
      <w:pPr>
        <w:jc w:val="both"/>
      </w:pPr>
      <w:r>
        <w:t xml:space="preserve">                          0                                                       Agosto 10 de 2015 </w:t>
      </w:r>
    </w:p>
    <w:p w:rsidR="00F439BD" w:rsidRDefault="00F439BD" w:rsidP="00FA2FB1">
      <w:pPr>
        <w:jc w:val="both"/>
      </w:pPr>
      <w:r>
        <w:t xml:space="preserve">                          1                                                       Agosto 11 de 2015 </w:t>
      </w:r>
    </w:p>
    <w:p w:rsidR="00F439BD" w:rsidRDefault="00F439BD" w:rsidP="00FA2FB1">
      <w:pPr>
        <w:jc w:val="both"/>
      </w:pPr>
      <w:r>
        <w:t xml:space="preserve">                          2                                                       Agosto 12 de 2015 </w:t>
      </w:r>
    </w:p>
    <w:p w:rsidR="00F439BD" w:rsidRDefault="00F439BD" w:rsidP="00FA2FB1">
      <w:pPr>
        <w:jc w:val="both"/>
      </w:pPr>
      <w:r>
        <w:t xml:space="preserve">                          3                                                       Agosto 13 de 2015 </w:t>
      </w:r>
    </w:p>
    <w:p w:rsidR="00F439BD" w:rsidRDefault="00F439BD" w:rsidP="00FA2FB1">
      <w:pPr>
        <w:jc w:val="both"/>
      </w:pPr>
      <w:r>
        <w:t xml:space="preserve">                          4                                                       Agosto 14 de 2015 </w:t>
      </w:r>
    </w:p>
    <w:p w:rsidR="00F439BD" w:rsidRDefault="00F439BD" w:rsidP="00FA2FB1">
      <w:pPr>
        <w:jc w:val="both"/>
      </w:pPr>
      <w:r>
        <w:t xml:space="preserve">                          5                                                       Agosto 18 de 2015 </w:t>
      </w:r>
    </w:p>
    <w:p w:rsidR="00F439BD" w:rsidRDefault="00F439BD" w:rsidP="00FA2FB1">
      <w:pPr>
        <w:jc w:val="both"/>
      </w:pPr>
      <w:r>
        <w:t xml:space="preserve">                          6                                                       Agosto 19 de 2015 </w:t>
      </w:r>
    </w:p>
    <w:p w:rsidR="00F439BD" w:rsidRDefault="00F439BD" w:rsidP="00FA2FB1">
      <w:pPr>
        <w:jc w:val="both"/>
      </w:pPr>
      <w:r>
        <w:t xml:space="preserve">                          7                                                       Agosto 20 de 2015 </w:t>
      </w:r>
    </w:p>
    <w:p w:rsidR="00F439BD" w:rsidRDefault="00F439BD" w:rsidP="00FA2FB1">
      <w:pPr>
        <w:jc w:val="both"/>
      </w:pPr>
      <w:r>
        <w:lastRenderedPageBreak/>
        <w:t xml:space="preserve">                          8                                                       Agosto 21 de 2015 </w:t>
      </w:r>
    </w:p>
    <w:p w:rsidR="00F439BD" w:rsidRDefault="00F439BD" w:rsidP="00FA2FB1">
      <w:pPr>
        <w:jc w:val="both"/>
      </w:pPr>
      <w:r>
        <w:t xml:space="preserve">                          9                                                       Agosto 24 de 2015 </w:t>
      </w:r>
    </w:p>
    <w:p w:rsidR="00F439BD" w:rsidRDefault="00F439BD" w:rsidP="00FA2FB1">
      <w:pPr>
        <w:jc w:val="both"/>
      </w:pPr>
    </w:p>
    <w:p w:rsidR="00F439BD" w:rsidRDefault="00F439BD" w:rsidP="00FA2FB1">
      <w:pPr>
        <w:jc w:val="both"/>
      </w:pPr>
    </w:p>
    <w:p w:rsidR="00F439BD" w:rsidRDefault="00F439BD" w:rsidP="00FA2FB1">
      <w:pPr>
        <w:jc w:val="both"/>
      </w:pPr>
    </w:p>
    <w:p w:rsidR="00D34099" w:rsidRPr="00D34099" w:rsidRDefault="00F439BD" w:rsidP="00FA2FB1">
      <w:pPr>
        <w:jc w:val="both"/>
      </w:pPr>
      <w:r w:rsidRPr="00D34099">
        <w:rPr>
          <w:b/>
        </w:rPr>
        <w:t>ARTÍCULO 18º. Sitio, forma y constancia de    presentación de la informaci</w:t>
      </w:r>
      <w:r>
        <w:t>ón. La información a que</w:t>
      </w:r>
      <w:r w:rsidR="00D34099">
        <w:t xml:space="preserve"> se refiere la presente resolución deberá entregarse únicamente a través de la página WEB de la Secretaría Distrital de Hacienda </w:t>
      </w:r>
      <w:r w:rsidR="00D34099" w:rsidRPr="00D34099">
        <w:t>(</w:t>
      </w:r>
      <w:hyperlink r:id="rId4" w:history="1">
        <w:r w:rsidR="00D34099" w:rsidRPr="00D34099">
          <w:rPr>
            <w:rStyle w:val="Hipervnculo"/>
            <w:color w:val="auto"/>
          </w:rPr>
          <w:t>www.haciendabogota.gov.co</w:t>
        </w:r>
      </w:hyperlink>
      <w:r w:rsidR="00D34099" w:rsidRPr="00D34099">
        <w:t xml:space="preserve">). </w:t>
      </w:r>
    </w:p>
    <w:p w:rsidR="00D34099" w:rsidRDefault="00D34099" w:rsidP="00FA2FB1">
      <w:pPr>
        <w:jc w:val="both"/>
      </w:pPr>
      <w:r>
        <w:t xml:space="preserve">La información se recibirá únicamente en los plazos establecidos. En todos los casos, la información suministrada deberá atender y adaptarse a las especificaciones técnicas y al diseño de registro contenido en el anexo No. 1 de la presente resolución. </w:t>
      </w:r>
    </w:p>
    <w:p w:rsidR="00D34099" w:rsidRDefault="00D34099" w:rsidP="00FA2FB1">
      <w:pPr>
        <w:jc w:val="both"/>
      </w:pPr>
      <w:r w:rsidRPr="00D34099">
        <w:rPr>
          <w:b/>
        </w:rPr>
        <w:t>PARÁGRAFO</w:t>
      </w:r>
      <w:r>
        <w:t xml:space="preserve">. La Administración Tributaria Distrital, en constancia del reporte de información asignará un número de radicación. </w:t>
      </w:r>
    </w:p>
    <w:p w:rsidR="00D34099" w:rsidRDefault="00D34099" w:rsidP="00FA2FB1">
      <w:pPr>
        <w:jc w:val="both"/>
      </w:pPr>
      <w:r w:rsidRPr="00D34099">
        <w:rPr>
          <w:b/>
        </w:rPr>
        <w:t>ARTÍCULO 19º.</w:t>
      </w:r>
      <w:r>
        <w:t xml:space="preserve"> Sanción por no enviar información. Las personas y entidades señaladas en la presente Resolución, que no suministren la información exógena y endógena requerida, dentro del plazo establecido para ello o cuyo contenido presente errores o no corresponda a lo solicitado, incurrirán en las sanciones establecidas en el artículo 69 del Decreto Distrital 807 de 1993, las cuales no podrán exceder los 15.000 UVT. </w:t>
      </w:r>
    </w:p>
    <w:p w:rsidR="00F439BD" w:rsidRDefault="00D34099" w:rsidP="00FA2FB1">
      <w:pPr>
        <w:jc w:val="both"/>
      </w:pPr>
      <w:r w:rsidRPr="00D34099">
        <w:rPr>
          <w:b/>
        </w:rPr>
        <w:t>ARTÍCULO 20º</w:t>
      </w:r>
      <w:r>
        <w:t>. Vigencia. La presente Resolución rige a partir de la fecha de su publicación.</w:t>
      </w:r>
    </w:p>
    <w:p w:rsidR="00FA2FB1" w:rsidRDefault="00FA2FB1" w:rsidP="00FA2FB1">
      <w:pPr>
        <w:jc w:val="both"/>
      </w:pPr>
      <w:r>
        <w:t>_________________________________________________________________________</w:t>
      </w:r>
    </w:p>
    <w:sectPr w:rsidR="00FA2FB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B1"/>
    <w:rsid w:val="0029351E"/>
    <w:rsid w:val="00540D98"/>
    <w:rsid w:val="00961BFA"/>
    <w:rsid w:val="00B94BED"/>
    <w:rsid w:val="00D34099"/>
    <w:rsid w:val="00E3651C"/>
    <w:rsid w:val="00F439BD"/>
    <w:rsid w:val="00FA2F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4D356-1699-4901-A9FB-700CFF2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3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ciendabogot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1500</Words>
  <Characters>8252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2015-05-24T12:52:00Z</dcterms:created>
  <dcterms:modified xsi:type="dcterms:W3CDTF">2015-06-11T01:43:00Z</dcterms:modified>
</cp:coreProperties>
</file>